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38517" w14:textId="77777777" w:rsidR="0024125A" w:rsidRDefault="0024125A" w:rsidP="0024125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3465867E" w14:textId="77777777" w:rsidR="0024125A" w:rsidRDefault="0024125A" w:rsidP="0024125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2024-2025 уч. год</w:t>
      </w:r>
    </w:p>
    <w:p w14:paraId="35E56006" w14:textId="77777777" w:rsidR="0024125A" w:rsidRDefault="0024125A" w:rsidP="0024125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>
        <w:rPr>
          <w:b/>
          <w:bCs/>
          <w:sz w:val="20"/>
          <w:szCs w:val="20"/>
        </w:rPr>
        <w:t>"6B02303 – Иностранная филология "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4386" w14:textId="31BD4B91" w:rsidR="005F78B6" w:rsidRPr="005F78B6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</w:rPr>
              <w:t xml:space="preserve">Цикл, </w:t>
            </w:r>
          </w:p>
          <w:p w14:paraId="349E22FA" w14:textId="3E287576" w:rsidR="005F78B6" w:rsidRPr="005F78B6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 w14:textId="0EA99F30" w:rsidR="0072294E" w:rsidRPr="00C15F24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</w:rPr>
              <w:t>компонент</w:t>
            </w:r>
            <w:r w:rsidR="0072294E" w:rsidRPr="0072294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4AD21462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</w:t>
            </w:r>
            <w:r w:rsidR="005A4030">
              <w:rPr>
                <w:sz w:val="20"/>
                <w:szCs w:val="20"/>
              </w:rPr>
              <w:t xml:space="preserve"> 1,</w:t>
            </w:r>
            <w:r>
              <w:rPr>
                <w:sz w:val="20"/>
                <w:szCs w:val="20"/>
              </w:rPr>
              <w:t xml:space="preserve">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5A4030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Hueber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Попов. 222 правила современного немецкого языка. Гум</w:t>
            </w:r>
            <w:r w:rsidRPr="005F78B6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Изд</w:t>
            </w:r>
            <w:r w:rsidRPr="005F78B6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« </w:t>
            </w:r>
            <w:r w:rsidRPr="00C15F24">
              <w:rPr>
                <w:sz w:val="20"/>
                <w:szCs w:val="20"/>
              </w:rPr>
              <w:t>Владос</w:t>
            </w:r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</w:t>
            </w:r>
            <w:r>
              <w:rPr>
                <w:sz w:val="20"/>
                <w:szCs w:val="20"/>
              </w:rPr>
              <w:lastRenderedPageBreak/>
              <w:t>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0FBCC444" w:rsidR="007008C6" w:rsidRPr="0088651B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4E6274A5" w:rsidR="007008C6" w:rsidRPr="00C15F24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3221CF3C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14BF8AE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0A9021FA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4084A6BF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5A4030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3BFDD503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50DE74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116F150C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288147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5A4030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6986B97A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13CDE5A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472B0DE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A0FCFF1" w:rsidR="007008C6" w:rsidRPr="00C11E85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5A4030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4BA94B35" w:rsidR="00451D09" w:rsidRPr="00C15F24" w:rsidRDefault="0088651B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630AB55E" w:rsidR="00451D09" w:rsidRPr="00C15F24" w:rsidRDefault="0088651B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2CDCD242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3DA8F3F9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5A4030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15A47293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1F7A5B1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49C2588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463F19C6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DCC9B4A" w:rsidR="008913F0" w:rsidRPr="0088651B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FA567DB" w:rsidR="008913F0" w:rsidRPr="00D53BA8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5A403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5A403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5A4030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03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5A4030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5A403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078E3AB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4A6E0DE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5A4030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B194E15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59F72EFD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AD28343" w:rsidR="00CC7773" w:rsidRPr="0088651B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4276CCF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0F08A1FF" w14:textId="77777777" w:rsidR="005F78B6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</w:t>
      </w:r>
    </w:p>
    <w:p w14:paraId="35DDFBDD" w14:textId="77777777" w:rsidR="005F78B6" w:rsidRPr="005A4030" w:rsidRDefault="005F78B6" w:rsidP="005A4030">
      <w:pPr>
        <w:rPr>
          <w:bCs/>
          <w:sz w:val="20"/>
          <w:szCs w:val="20"/>
        </w:rPr>
      </w:pPr>
      <w:r w:rsidRPr="005A4030">
        <w:rPr>
          <w:bCs/>
          <w:sz w:val="20"/>
          <w:szCs w:val="20"/>
        </w:rPr>
        <w:t xml:space="preserve">Председатель Академического комитета  </w:t>
      </w:r>
    </w:p>
    <w:p w14:paraId="39C539EA" w14:textId="1F2B523B" w:rsidR="00FE65A1" w:rsidRPr="005A4030" w:rsidRDefault="005F78B6" w:rsidP="005A4030">
      <w:pPr>
        <w:rPr>
          <w:sz w:val="20"/>
          <w:szCs w:val="20"/>
        </w:rPr>
      </w:pPr>
      <w:r w:rsidRPr="005A4030">
        <w:rPr>
          <w:bCs/>
          <w:sz w:val="20"/>
          <w:szCs w:val="20"/>
        </w:rPr>
        <w:t>по качеству преподавания и обучения______________________</w:t>
      </w:r>
      <w:r w:rsidR="005A4030">
        <w:rPr>
          <w:bCs/>
          <w:sz w:val="20"/>
          <w:szCs w:val="20"/>
        </w:rPr>
        <w:t xml:space="preserve">__ </w:t>
      </w:r>
      <w:r w:rsidR="005A4030" w:rsidRPr="005A4030">
        <w:rPr>
          <w:bCs/>
          <w:sz w:val="20"/>
          <w:szCs w:val="20"/>
        </w:rPr>
        <w:t xml:space="preserve">   </w:t>
      </w:r>
      <w:r w:rsidR="005A4030" w:rsidRPr="005A4030">
        <w:rPr>
          <w:sz w:val="20"/>
          <w:szCs w:val="20"/>
        </w:rPr>
        <w:t>С.Д.</w:t>
      </w:r>
      <w:r w:rsidR="005A4030">
        <w:rPr>
          <w:sz w:val="20"/>
          <w:szCs w:val="20"/>
        </w:rPr>
        <w:t xml:space="preserve"> </w:t>
      </w:r>
      <w:r w:rsidR="005A4030" w:rsidRPr="005A4030">
        <w:rPr>
          <w:sz w:val="20"/>
          <w:szCs w:val="20"/>
        </w:rPr>
        <w:t xml:space="preserve">Сейденова </w:t>
      </w: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488B6D6C" w14:textId="5E4B9043" w:rsidR="00950F6F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79B5094D" w14:textId="77777777" w:rsidR="00EA0E82" w:rsidRDefault="00EA0E82" w:rsidP="00371C3E">
      <w:pPr>
        <w:tabs>
          <w:tab w:val="left" w:pos="860"/>
        </w:tabs>
        <w:rPr>
          <w:sz w:val="20"/>
          <w:szCs w:val="20"/>
        </w:rPr>
        <w:sectPr w:rsidR="00EA0E82" w:rsidSect="0087416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45C1DD9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0CF202A6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3B5C54AD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029376E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284054D9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703D329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2BEB6EC6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C8ACE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9EE28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B662F2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A2B2B7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52FD88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92EB3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5688F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4D0C8A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8AEFB4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FA150B2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5657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16CC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6E82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4490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261D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052F713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1AEB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81AC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8FD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6259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DD13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0B554E8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6FCBD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6344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F67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D857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6444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3B2EBD75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24D8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D54647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599F2D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5129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7966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2D6C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72BF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746F3AB0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6A2B73F0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72EE2C61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00B9DB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AE8C6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B4C850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97B3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8190D5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211E4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592ECD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95FC8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504C4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7678B712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96F9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B277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59C6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E00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BA2F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1078F7FD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434B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6F7A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834E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1B35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915E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4E9AC5C1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E4E93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D9E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E42F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C17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23FE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56650CA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15D8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238E94E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2FF45CD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A203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280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3A4A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0D3A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3CE0299B" w14:textId="77777777" w:rsidR="00EA0E82" w:rsidRPr="00B67A3F" w:rsidRDefault="00EA0E82" w:rsidP="00EA0E82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2013D5EF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EA8F45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2B300C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830C0D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637C1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09CFCE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E6B9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591E1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90ADC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4166CEA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3669CB70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2FAC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C878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825F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4C84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4F07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4688A87B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691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29CA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091D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73FB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374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4A569450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457CB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2D37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7E1E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190E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042F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640C1DDD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4A7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5A2B8B1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5383B03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C3D6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C18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47AA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2538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7309F18E" w14:textId="77777777" w:rsidR="00EA0E82" w:rsidRDefault="00EA0E82" w:rsidP="00EA0E82">
      <w:pPr>
        <w:jc w:val="both"/>
        <w:textAlignment w:val="baseline"/>
        <w:rPr>
          <w:sz w:val="20"/>
          <w:szCs w:val="20"/>
          <w:lang w:eastAsia="en-US"/>
        </w:rPr>
      </w:pPr>
    </w:p>
    <w:p w14:paraId="5F84DA8E" w14:textId="77777777" w:rsidR="00EA0E82" w:rsidRPr="00B67A3F" w:rsidRDefault="00EA0E82" w:rsidP="00EA0E82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06C1711A" w14:textId="77777777" w:rsidR="00EA0E82" w:rsidRPr="00B67A3F" w:rsidRDefault="00EA0E82" w:rsidP="00EA0E82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A0E82" w:rsidRPr="00B67A3F" w14:paraId="0C6B7276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1C9B0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75532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04150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9A76BD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6DFBB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39DAE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46908F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2EEBBD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BA9CEB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73CCE2C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2CC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19D2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59D8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93A2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7E80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EA0E82" w:rsidRPr="00B67A3F" w14:paraId="59D09819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E5D54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F363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F6F2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449D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5E8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A0E82" w:rsidRPr="00B67A3F" w14:paraId="2D1D28BF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7EB2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4D22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E97E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657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B468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EA0E82" w:rsidRPr="00B67A3F" w14:paraId="42F37681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0E55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B8FD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A761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1064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BAFC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 w14:textId="77777777" w:rsidR="00EA0E82" w:rsidRDefault="00EA0E82" w:rsidP="00EA0E82">
      <w:pPr>
        <w:jc w:val="both"/>
        <w:textAlignment w:val="baseline"/>
        <w:rPr>
          <w:b/>
          <w:bCs/>
          <w:sz w:val="20"/>
          <w:szCs w:val="20"/>
        </w:rPr>
      </w:pPr>
    </w:p>
    <w:p w14:paraId="1614A583" w14:textId="77777777" w:rsidR="00EA0E82" w:rsidRPr="00B67A3F" w:rsidRDefault="00EA0E82" w:rsidP="00EA0E82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311E60E4" w14:textId="77777777" w:rsidR="00EA0E82" w:rsidRPr="00B67A3F" w:rsidRDefault="00EA0E82" w:rsidP="00EA0E82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A0E82" w:rsidRPr="00B67A3F" w14:paraId="1C8C0FAD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77DD8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7B321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B3D0A9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CC678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FAD492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DBB76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917D5A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26BCBA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C70557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2ECC0C9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217F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E60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4A54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4E0C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0A37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EA0E82" w:rsidRPr="00B67A3F" w14:paraId="06086230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CB8B5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6E1D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349D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61DF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5C06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A0E82" w:rsidRPr="00B67A3F" w14:paraId="3F132B25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B8CE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A30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4E2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A1C1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463B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EA0E82" w:rsidRPr="00B67A3F" w14:paraId="1E36B5AC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B00F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1958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1DE3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6C82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9A11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 w14:textId="77777777" w:rsidR="005F78B6" w:rsidRPr="00371C3E" w:rsidRDefault="005F78B6" w:rsidP="00371C3E">
      <w:pPr>
        <w:tabs>
          <w:tab w:val="left" w:pos="860"/>
        </w:tabs>
        <w:rPr>
          <w:sz w:val="20"/>
          <w:szCs w:val="20"/>
        </w:rPr>
      </w:pPr>
    </w:p>
    <w:sectPr w:rsidR="005F78B6" w:rsidRPr="00371C3E" w:rsidSect="00EA0E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4038</Words>
  <Characters>23021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3</cp:revision>
  <dcterms:created xsi:type="dcterms:W3CDTF">2024-09-24T10:24:00Z</dcterms:created>
  <dcterms:modified xsi:type="dcterms:W3CDTF">2024-09-24T10:34:00Z</dcterms:modified>
</cp:coreProperties>
</file>